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5" w:rsidRPr="005B12F5" w:rsidRDefault="005B12F5" w:rsidP="005B12F5">
      <w:pPr>
        <w:keepNext/>
        <w:spacing w:before="240" w:after="60" w:line="360" w:lineRule="auto"/>
        <w:ind w:left="360" w:right="53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1. Цели и задачи контрольной работы </w:t>
      </w:r>
    </w:p>
    <w:p w:rsidR="005B12F5" w:rsidRPr="005B12F5" w:rsidRDefault="005B12F5" w:rsidP="005B1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дисциплины - изучение теоретических основ финансового планирования и прогнозирования, механизма расчета плановых показателей, критериев принятия финансовых решений, стратегию и тактику работы, а также элементы финансового менеджмента.</w:t>
      </w:r>
    </w:p>
    <w:p w:rsidR="005B12F5" w:rsidRPr="005B12F5" w:rsidRDefault="005B12F5" w:rsidP="005B12F5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результате изучения основ финансового планирования, основных тенденций и закономерностей развития финансов в стране и регионе студент должен знать сущность и функции финансового планирования и прогнозирования, содержание и организационное построение финансовых планов; принципы;  порядок формирования бюджетов, сущность и функции прогноза; содержание и организационное построение функциональных бюджетов; основные принципы организации бюджетирования, планирование финансирования инвестиций; и мн. др., приемы и методы финансового менеджмента, а также  должен уметь:  анализировать и обобщать экономические показатели, характеризующие состояние основных фондов предприятия, использовать инструментарий экономической оценки для прогнозирования возможных денежных потоков; формировать стратегию; оценивать предпринимательские и кредитные риски.</w:t>
      </w:r>
    </w:p>
    <w:p w:rsidR="005B12F5" w:rsidRPr="005B12F5" w:rsidRDefault="005B12F5" w:rsidP="005B12F5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учебным процессом студенты выполняют контрольную работу по курсу «Финансовое планирование». Цель контрольной работы – закрепление теоретических знаний. Итогом контрольной работы является заполненный баланс доходов и расходов плановый.</w:t>
      </w: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2F5" w:rsidRPr="005B12F5" w:rsidRDefault="005B12F5" w:rsidP="005B12F5">
      <w:pPr>
        <w:keepNext/>
        <w:numPr>
          <w:ilvl w:val="0"/>
          <w:numId w:val="12"/>
        </w:numPr>
        <w:spacing w:before="240" w:after="6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Методические указания к выполнению контрольной </w:t>
      </w:r>
    </w:p>
    <w:p w:rsidR="005B12F5" w:rsidRPr="005B12F5" w:rsidRDefault="005B12F5" w:rsidP="005B12F5">
      <w:pPr>
        <w:keepNext/>
        <w:spacing w:before="240" w:after="60" w:line="240" w:lineRule="auto"/>
        <w:ind w:left="360" w:right="-6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работы</w:t>
      </w:r>
    </w:p>
    <w:p w:rsidR="005B12F5" w:rsidRPr="005B12F5" w:rsidRDefault="005B12F5" w:rsidP="005B12F5">
      <w:pPr>
        <w:tabs>
          <w:tab w:val="left" w:pos="1134"/>
        </w:tabs>
        <w:spacing w:after="0" w:line="36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2F5" w:rsidRPr="005B12F5" w:rsidRDefault="005B12F5" w:rsidP="005B12F5">
      <w:pPr>
        <w:tabs>
          <w:tab w:val="left" w:pos="1134"/>
        </w:tabs>
        <w:spacing w:after="0" w:line="36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 осуществляется студентом самостоятельно по варианту указанному преподавателем. Контрольная  работа оформляется по форме, приведенной ниже. Выполняется контрольная работа в стандартных школьных тетрадях в клетку или не более чем на 15 листах бумаги формата А-4 размером. Страницы работы нумеруются вверху листа, справа. На листе оставляются поля: слева 30 мм, справа – 10 мм, сверху и снизу – 20 мм. На странице должно быть не более 29 строк.  Возможно оформление работы в рабочей тетради, изданной типографским способом для чего на первой странице тетради наклеивается титульный лист, а расчеты осуществляются в колонке полученного варианта задания.</w:t>
      </w:r>
    </w:p>
    <w:p w:rsidR="005B12F5" w:rsidRPr="005B12F5" w:rsidRDefault="005B12F5" w:rsidP="005B12F5">
      <w:pPr>
        <w:spacing w:after="0" w:line="36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располагается задание и номер варианта. Со второй – изложение расчетов. Если при ответе на вопрос студент использует схемы, графики, таблицы. Они выполняются простым карандашом. Не допускается использование цветной пасты красного, желтого цветов.</w:t>
      </w:r>
    </w:p>
    <w:p w:rsidR="005B12F5" w:rsidRPr="005B12F5" w:rsidRDefault="005B12F5" w:rsidP="005B12F5">
      <w:pPr>
        <w:spacing w:after="0" w:line="360" w:lineRule="auto"/>
        <w:ind w:right="-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контрольной работы (последняя страница) помещается список использованной литературы. При написании контрольной работы должно быть использовано не имение 5 литературных источников, не ранее 2005 года издания. Проставляется дата выполнения работы и подпись студента.</w:t>
      </w:r>
    </w:p>
    <w:p w:rsidR="005B12F5" w:rsidRPr="005B12F5" w:rsidRDefault="005B12F5" w:rsidP="005B12F5">
      <w:pPr>
        <w:spacing w:after="0" w:line="360" w:lineRule="auto"/>
        <w:ind w:right="-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контрольной работы допускаются сокращения, только предусмотренные стандартами. </w:t>
      </w:r>
    </w:p>
    <w:p w:rsidR="005B12F5" w:rsidRPr="005B12F5" w:rsidRDefault="005B12F5" w:rsidP="005B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B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5B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 и формы для выполнения работы.</w:t>
      </w:r>
    </w:p>
    <w:p w:rsidR="005B12F5" w:rsidRPr="005B12F5" w:rsidRDefault="005B12F5" w:rsidP="005B12F5">
      <w:pPr>
        <w:keepNext/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Таблица1</w:t>
      </w:r>
    </w:p>
    <w:p w:rsidR="005B12F5" w:rsidRPr="005B12F5" w:rsidRDefault="005B12F5" w:rsidP="005B12F5">
      <w:pPr>
        <w:keepNext/>
        <w:spacing w:after="0" w:line="240" w:lineRule="auto"/>
        <w:ind w:right="90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Смета затрат на производство предприятия №1 ( тыс. руб.)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515"/>
        <w:gridCol w:w="1634"/>
        <w:gridCol w:w="1635"/>
        <w:gridCol w:w="1635"/>
        <w:gridCol w:w="1635"/>
      </w:tblGrid>
      <w:tr w:rsidR="005B12F5" w:rsidRPr="005B12F5" w:rsidTr="00A97909">
        <w:trPr>
          <w:cantSplit/>
        </w:trPr>
        <w:tc>
          <w:tcPr>
            <w:tcW w:w="249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5" w:type="pct"/>
            <w:vMerge w:val="restart"/>
          </w:tcPr>
          <w:p w:rsidR="005B12F5" w:rsidRPr="005B12F5" w:rsidRDefault="005B12F5" w:rsidP="005B12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Затраты</w:t>
            </w:r>
          </w:p>
        </w:tc>
        <w:tc>
          <w:tcPr>
            <w:tcW w:w="1748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748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5B12F5" w:rsidRPr="005B12F5" w:rsidTr="00A97909">
        <w:trPr>
          <w:cantSplit/>
        </w:trPr>
        <w:tc>
          <w:tcPr>
            <w:tcW w:w="249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vMerge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1У квартале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1У квартале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(за вычетом стоимости возвратных отходов)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(Пенсионный фонд, ОМС и др.)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фондов</w:t>
            </w: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проценты за краткосрочные кредиты;</w:t>
            </w:r>
          </w:p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ремонтный фонд.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производство</w:t>
            </w: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на непроизводственные счета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производство за минусом списанных на непроизводственные счета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незавершенного производства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55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в действующих ценах без НДС и акцизов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87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</w:tr>
    </w:tbl>
    <w:p w:rsidR="005B12F5" w:rsidRPr="005B12F5" w:rsidRDefault="005B12F5" w:rsidP="005B12F5">
      <w:pPr>
        <w:keepNext/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Таблица2</w:t>
      </w:r>
    </w:p>
    <w:p w:rsidR="005B12F5" w:rsidRPr="005B12F5" w:rsidRDefault="005B12F5" w:rsidP="005B12F5">
      <w:pPr>
        <w:keepNext/>
        <w:spacing w:after="0" w:line="240" w:lineRule="auto"/>
        <w:ind w:right="907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Смета затрат на производство предприятия №2 (тыс. руб.)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239"/>
        <w:gridCol w:w="1441"/>
        <w:gridCol w:w="1441"/>
        <w:gridCol w:w="1441"/>
        <w:gridCol w:w="1442"/>
      </w:tblGrid>
      <w:tr w:rsidR="005B12F5" w:rsidRPr="005B12F5" w:rsidTr="00A97909">
        <w:trPr>
          <w:cantSplit/>
        </w:trPr>
        <w:tc>
          <w:tcPr>
            <w:tcW w:w="245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pct"/>
            <w:vMerge w:val="restart"/>
          </w:tcPr>
          <w:p w:rsidR="005B12F5" w:rsidRPr="005B12F5" w:rsidRDefault="005B12F5" w:rsidP="005B12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</w:t>
            </w:r>
          </w:p>
        </w:tc>
        <w:tc>
          <w:tcPr>
            <w:tcW w:w="1526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526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5B12F5" w:rsidRPr="005B12F5" w:rsidTr="00A97909">
        <w:trPr>
          <w:cantSplit/>
        </w:trPr>
        <w:tc>
          <w:tcPr>
            <w:tcW w:w="245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  <w:vMerge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в 1У квартале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в 1У квартале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затраты (за вычетом стоимости возвратных отходов)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нужды (Пенсионный фонд, ОМС и др.)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проценты за краткосрочные кредиты;</w:t>
            </w:r>
          </w:p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ремонтный фонд.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 на производство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непроизводственные счета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производство за минусом списанных на непроизводственные счета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незавершенного производства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себестоимость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Внепроизводственные расходы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себестоимость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2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2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в действующих ценах без НДС и акцизов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763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</w:tr>
    </w:tbl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tabs>
          <w:tab w:val="left" w:pos="8306"/>
        </w:tabs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12F5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br w:type="page"/>
      </w: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Таблица3</w:t>
      </w: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реализации продукции и валовой прибыли (тыс. руб.).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229"/>
        <w:gridCol w:w="2374"/>
        <w:gridCol w:w="2375"/>
      </w:tblGrid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1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2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Остаток готовых изделий на складах и на ответственном хранении на начало планируемого года:</w:t>
            </w:r>
          </w:p>
          <w:p w:rsidR="005B12F5" w:rsidRPr="005B12F5" w:rsidRDefault="005B12F5" w:rsidP="005B12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производственной себестоимости;</w:t>
            </w:r>
          </w:p>
          <w:p w:rsidR="005B12F5" w:rsidRPr="005B12F5" w:rsidRDefault="005B12F5" w:rsidP="005B12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действующим ценам без НДС и акцизов;</w:t>
            </w:r>
          </w:p>
          <w:p w:rsidR="005B12F5" w:rsidRPr="005B12F5" w:rsidRDefault="005B12F5" w:rsidP="005B12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на планируемый год:</w:t>
            </w:r>
          </w:p>
          <w:p w:rsidR="005B12F5" w:rsidRPr="005B12F5" w:rsidRDefault="005B12F5" w:rsidP="005B12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полной себестоимости;</w:t>
            </w:r>
          </w:p>
          <w:p w:rsidR="005B12F5" w:rsidRPr="005B12F5" w:rsidRDefault="005B12F5" w:rsidP="005B12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 без НДС и акцизов;</w:t>
            </w:r>
          </w:p>
          <w:p w:rsidR="005B12F5" w:rsidRPr="005B12F5" w:rsidRDefault="005B12F5" w:rsidP="005B12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готовых изелий на складах и товаров отгруженных на конец планируемого года:</w:t>
            </w:r>
          </w:p>
          <w:p w:rsidR="005B12F5" w:rsidRPr="005B12F5" w:rsidRDefault="005B12F5" w:rsidP="005B12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днях;</w:t>
            </w:r>
          </w:p>
          <w:p w:rsidR="005B12F5" w:rsidRPr="005B12F5" w:rsidRDefault="005B12F5" w:rsidP="005B12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производственной себестоимости;</w:t>
            </w:r>
          </w:p>
          <w:p w:rsidR="005B12F5" w:rsidRPr="005B12F5" w:rsidRDefault="005B12F5" w:rsidP="005B12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 без НДС и акцизов;</w:t>
            </w:r>
          </w:p>
          <w:p w:rsidR="005B12F5" w:rsidRPr="005B12F5" w:rsidRDefault="005B12F5" w:rsidP="005B12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в планируемом году:</w:t>
            </w:r>
          </w:p>
          <w:p w:rsidR="005B12F5" w:rsidRPr="005B12F5" w:rsidRDefault="005B12F5" w:rsidP="005B12F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полной себестоимости;</w:t>
            </w:r>
          </w:p>
          <w:p w:rsidR="005B12F5" w:rsidRPr="005B12F5" w:rsidRDefault="005B12F5" w:rsidP="005B12F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ценах без НДС и акцизов;</w:t>
            </w:r>
          </w:p>
          <w:p w:rsidR="005B12F5" w:rsidRPr="005B12F5" w:rsidRDefault="005B12F5" w:rsidP="005B12F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 основных фондов, иного имущества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(расходы) от внереализационных операций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9" w:type="pct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24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Таблица 4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собственных оборотных средств для предприятия №1 (тыс. руб).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047"/>
        <w:gridCol w:w="1454"/>
        <w:gridCol w:w="1208"/>
        <w:gridCol w:w="992"/>
        <w:gridCol w:w="848"/>
        <w:gridCol w:w="1454"/>
        <w:gridCol w:w="1136"/>
      </w:tblGrid>
      <w:tr w:rsidR="005B12F5" w:rsidRPr="005B12F5" w:rsidTr="00A97909">
        <w:trPr>
          <w:cantSplit/>
        </w:trPr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оборотные средства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начало года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элементов запаса в %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1У кв.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запаса в днях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кон. года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(+), экономия (-)</w:t>
            </w: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– гр.3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Таблица5</w:t>
      </w: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собственных оборотных средств для предприятия №2 (тыс. руб.).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047"/>
        <w:gridCol w:w="1454"/>
        <w:gridCol w:w="1208"/>
        <w:gridCol w:w="992"/>
        <w:gridCol w:w="848"/>
        <w:gridCol w:w="1454"/>
        <w:gridCol w:w="1136"/>
      </w:tblGrid>
      <w:tr w:rsidR="005B12F5" w:rsidRPr="005B12F5" w:rsidTr="00A97909">
        <w:trPr>
          <w:cantSplit/>
        </w:trPr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оборотные средства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начало года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элементов запаса в %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1У кв.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запаса в днях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кон. года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(+), экономия (-)</w:t>
            </w: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– гр.3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right="192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spacing w:before="240" w:after="60" w:line="240" w:lineRule="auto"/>
        <w:ind w:right="50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B12F5" w:rsidRPr="005B12F5" w:rsidRDefault="005B12F5" w:rsidP="005B12F5">
      <w:pPr>
        <w:keepNext/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Таблица6</w:t>
      </w: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налога на прибыль (тыс. руб.).</w:t>
      </w:r>
    </w:p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2649"/>
        <w:gridCol w:w="1617"/>
        <w:gridCol w:w="1617"/>
        <w:gridCol w:w="1617"/>
        <w:gridCol w:w="1615"/>
      </w:tblGrid>
      <w:tr w:rsidR="005B12F5" w:rsidRPr="005B12F5" w:rsidTr="00A97909">
        <w:trPr>
          <w:cantSplit/>
        </w:trPr>
        <w:tc>
          <w:tcPr>
            <w:tcW w:w="237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4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0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1</w:t>
            </w:r>
          </w:p>
        </w:tc>
        <w:tc>
          <w:tcPr>
            <w:tcW w:w="1690" w:type="pct"/>
            <w:gridSpan w:val="2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2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валовой прибыли, подлежащей налогообложению исключаются:</w:t>
            </w:r>
          </w:p>
          <w:p w:rsidR="005B12F5" w:rsidRPr="005B12F5" w:rsidRDefault="005B12F5" w:rsidP="005B12F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Рентные платежи;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дивиденды, полученные по акциям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 от долевого участия в др. предпр.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 w:val="restar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проведения посреднических операций и сделок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страховой деятельности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осуществления отдельных банковских операций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rPr>
          <w:cantSplit/>
        </w:trPr>
        <w:tc>
          <w:tcPr>
            <w:tcW w:w="237" w:type="pct"/>
            <w:vMerge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стр.2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прибыль (См: следующую таблицу).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прибыль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на прибыль, %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12F5" w:rsidRPr="005B12F5" w:rsidTr="00A97909">
        <w:tc>
          <w:tcPr>
            <w:tcW w:w="23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tabs>
          <w:tab w:val="left" w:pos="7797"/>
        </w:tabs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tabs>
          <w:tab w:val="left" w:pos="7797"/>
        </w:tabs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Таблица7</w:t>
      </w: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имущество предприятий.</w:t>
      </w:r>
    </w:p>
    <w:p w:rsidR="005B12F5" w:rsidRPr="005B12F5" w:rsidRDefault="005B12F5" w:rsidP="005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3612"/>
        <w:gridCol w:w="2693"/>
        <w:gridCol w:w="2691"/>
      </w:tblGrid>
      <w:tr w:rsidR="005B12F5" w:rsidRPr="005B12F5" w:rsidTr="00A97909">
        <w:tc>
          <w:tcPr>
            <w:tcW w:w="30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1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2</w:t>
            </w:r>
          </w:p>
        </w:tc>
      </w:tr>
      <w:tr w:rsidR="005B12F5" w:rsidRPr="005B12F5" w:rsidTr="00A97909">
        <w:tc>
          <w:tcPr>
            <w:tcW w:w="30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имущества предприятия (тыс. руб)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</w:tr>
      <w:tr w:rsidR="005B12F5" w:rsidRPr="005B12F5" w:rsidTr="00A97909">
        <w:tc>
          <w:tcPr>
            <w:tcW w:w="30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на имущество (%)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2F5" w:rsidRPr="005B12F5" w:rsidTr="00A97909">
        <w:tc>
          <w:tcPr>
            <w:tcW w:w="300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на имущество (тыс. руб)</w:t>
            </w: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Справочно:</w:t>
      </w: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(тыс. руб)                          Смета 1</w:t>
      </w: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1 вариант 830</w:t>
      </w: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2 вариант 1050</w:t>
      </w: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keepNext/>
        <w:spacing w:before="240" w:after="6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Таблица8</w:t>
      </w:r>
    </w:p>
    <w:p w:rsidR="005B12F5" w:rsidRPr="005B12F5" w:rsidRDefault="005B12F5" w:rsidP="005B1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износа (амортизации) основных фондов и его распределение ( тыс. руб.)</w:t>
      </w:r>
    </w:p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3250"/>
        <w:gridCol w:w="1397"/>
        <w:gridCol w:w="1399"/>
        <w:gridCol w:w="1398"/>
        <w:gridCol w:w="1398"/>
      </w:tblGrid>
      <w:tr w:rsidR="005B12F5" w:rsidRPr="005B12F5" w:rsidTr="00A97909">
        <w:trPr>
          <w:cantSplit/>
        </w:trPr>
        <w:tc>
          <w:tcPr>
            <w:tcW w:w="241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17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Смета1</w:t>
            </w:r>
          </w:p>
        </w:tc>
        <w:tc>
          <w:tcPr>
            <w:tcW w:w="1517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2</w:t>
            </w:r>
          </w:p>
        </w:tc>
      </w:tr>
      <w:tr w:rsidR="005B12F5" w:rsidRPr="005B12F5" w:rsidTr="00A97909">
        <w:trPr>
          <w:cantSplit/>
        </w:trPr>
        <w:tc>
          <w:tcPr>
            <w:tcW w:w="241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Вар.2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производственных фондов, на которые начисляется износ (амортизация)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фондов, на которые износ не начисляется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стоимость, используемая для начисления износа основных фондов, всего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амортизационных отчислений на полное восстановление основных фондов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на полное восстановление основных фондов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износа (амортизационных  отчислений) всего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241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реновацию</w:t>
            </w: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B12F5" w:rsidRPr="005B12F5" w:rsidRDefault="005B12F5" w:rsidP="005B12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Таблица 9</w:t>
      </w: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научно-исследовательских работ и</w:t>
      </w:r>
    </w:p>
    <w:p w:rsidR="005B12F5" w:rsidRPr="005B12F5" w:rsidRDefault="005B12F5" w:rsidP="005B12F5">
      <w:pPr>
        <w:spacing w:after="120" w:line="240" w:lineRule="auto"/>
        <w:ind w:left="283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содержание детских дошкольных учреждений (тыс. руб.)</w:t>
      </w:r>
    </w:p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3684"/>
        <w:gridCol w:w="2579"/>
        <w:gridCol w:w="2579"/>
      </w:tblGrid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1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2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НИР всего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А). Поступления по договорам на НИР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0.80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Б). Поступления от ассоциаций на НИР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В). прибыль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детских дошкольных учреждений, всего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А). Средства родителей на содержание детей в дошкольных учреждениях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Б). Прибыль</w:t>
            </w: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Таблица 10</w:t>
      </w: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прибыли (тыс. руб.)</w:t>
      </w:r>
    </w:p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834"/>
        <w:gridCol w:w="1502"/>
        <w:gridCol w:w="1502"/>
        <w:gridCol w:w="1502"/>
        <w:gridCol w:w="1502"/>
      </w:tblGrid>
      <w:tr w:rsidR="005B12F5" w:rsidRPr="005B12F5" w:rsidTr="00A97909">
        <w:trPr>
          <w:cantSplit/>
        </w:trPr>
        <w:tc>
          <w:tcPr>
            <w:tcW w:w="309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5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8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Смета1</w:t>
            </w:r>
          </w:p>
        </w:tc>
        <w:tc>
          <w:tcPr>
            <w:tcW w:w="1598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Смета2</w:t>
            </w:r>
          </w:p>
        </w:tc>
      </w:tr>
      <w:tr w:rsidR="005B12F5" w:rsidRPr="005B12F5" w:rsidTr="00A97909">
        <w:trPr>
          <w:cantSplit/>
        </w:trPr>
        <w:tc>
          <w:tcPr>
            <w:tcW w:w="309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Вар.2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Валовая прибыль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Прибыль, не облагаемая налогами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Прибыль, направляемая в бюджеты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Прибыль, остающаяся в распоряжение предприятия, всего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А). Техническое перевооружение, реконструкцию и расширение действующего предприятия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Б). Непроизводственное строительство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В). прирост собственных оборотных средств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Г). НИР и опытно-конструкторские работы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Д). Содержание детских дошкольных учреждений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Е). Прочие расходы на финансирование социальной сферы:</w:t>
            </w:r>
          </w:p>
          <w:p w:rsidR="005B12F5" w:rsidRPr="005B12F5" w:rsidRDefault="005B12F5" w:rsidP="005B12F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объектов социальной сферы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комбината питания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развитие подсобного хозяйства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</w:tcPr>
          <w:p w:rsidR="005B12F5" w:rsidRPr="005B12F5" w:rsidRDefault="005B12F5" w:rsidP="005B12F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расходы за счет прибыли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</w:tr>
    </w:tbl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Таблица 11</w:t>
      </w: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источников финансирования капитальных вложенй (тыс. руб.)</w:t>
      </w:r>
    </w:p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709"/>
        <w:gridCol w:w="1532"/>
        <w:gridCol w:w="1533"/>
        <w:gridCol w:w="1533"/>
        <w:gridCol w:w="1535"/>
      </w:tblGrid>
      <w:tr w:rsidR="005B12F5" w:rsidRPr="005B12F5" w:rsidTr="00A97909">
        <w:trPr>
          <w:cantSplit/>
        </w:trPr>
        <w:tc>
          <w:tcPr>
            <w:tcW w:w="309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0" w:type="pct"/>
            <w:vMerge w:val="restar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1" w:type="pct"/>
            <w:gridSpan w:val="4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Капитальные вложения</w:t>
            </w:r>
          </w:p>
        </w:tc>
      </w:tr>
      <w:tr w:rsidR="005B12F5" w:rsidRPr="005B12F5" w:rsidTr="00A97909">
        <w:trPr>
          <w:cantSplit/>
        </w:trPr>
        <w:tc>
          <w:tcPr>
            <w:tcW w:w="309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Производственного назначения</w:t>
            </w:r>
          </w:p>
        </w:tc>
        <w:tc>
          <w:tcPr>
            <w:tcW w:w="163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Непроизводственного назначения</w:t>
            </w:r>
          </w:p>
        </w:tc>
      </w:tr>
      <w:tr w:rsidR="005B12F5" w:rsidRPr="005B12F5" w:rsidTr="00A97909">
        <w:trPr>
          <w:cantSplit/>
        </w:trPr>
        <w:tc>
          <w:tcPr>
            <w:tcW w:w="309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Смета1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Смета2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Смета1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Смета2</w:t>
            </w: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6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Затраты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капитальных вложений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193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строительно-монтажных работ, выполняемых хозяйственным способом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Удорожающие факторы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9.9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 затрат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6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Источники финансирования</w:t>
            </w:r>
          </w:p>
        </w:tc>
      </w:tr>
      <w:tr w:rsidR="005B12F5" w:rsidRPr="005B12F5" w:rsidTr="00A97909">
        <w:trPr>
          <w:cantSplit/>
        </w:trPr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691" w:type="pct"/>
            <w:gridSpan w:val="5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Собственные средства предприятия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 (амортизация)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Прибыль, остающаяся в распоряжении предприятия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 по 1 разделу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</w:t>
            </w:r>
          </w:p>
        </w:tc>
        <w:tc>
          <w:tcPr>
            <w:tcW w:w="4691" w:type="pct"/>
            <w:gridSpan w:val="5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Привлеченные средства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Кредиты банка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Заемные средства других предприятий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Долевое участие в строительстве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12.5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из бюджета 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внебюджетных средств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Плановые накопления по строительно-монтажным работам, выполняемым хозяйственным способом (9 %)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источники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B12F5" w:rsidRPr="005B12F5" w:rsidTr="00A97909">
        <w:tc>
          <w:tcPr>
            <w:tcW w:w="309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 источников</w:t>
            </w: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Таблица 12</w:t>
      </w: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доходов и расходов</w:t>
      </w: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(финансовый план)</w:t>
      </w:r>
    </w:p>
    <w:p w:rsidR="005B12F5" w:rsidRPr="005B12F5" w:rsidRDefault="005B12F5" w:rsidP="005B12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200___год</w:t>
      </w:r>
    </w:p>
    <w:p w:rsidR="005B12F5" w:rsidRPr="005B12F5" w:rsidRDefault="005B12F5" w:rsidP="005B12F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9"/>
        <w:gridCol w:w="2211"/>
      </w:tblGrid>
      <w:tr w:rsidR="005B12F5" w:rsidRPr="005B12F5" w:rsidTr="00A97909">
        <w:trPr>
          <w:cantSplit/>
          <w:trHeight w:val="425"/>
        </w:trPr>
        <w:tc>
          <w:tcPr>
            <w:tcW w:w="3845" w:type="pct"/>
            <w:vAlign w:val="center"/>
          </w:tcPr>
          <w:p w:rsidR="005B12F5" w:rsidRPr="005B12F5" w:rsidRDefault="005B12F5" w:rsidP="005B12F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5" w:type="pct"/>
            <w:vAlign w:val="center"/>
          </w:tcPr>
          <w:p w:rsidR="005B12F5" w:rsidRPr="005B12F5" w:rsidRDefault="005B12F5" w:rsidP="005B12F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200__г.</w:t>
            </w: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Доходы и поступление средств</w:t>
            </w:r>
          </w:p>
        </w:tc>
      </w:tr>
      <w:tr w:rsidR="005B12F5" w:rsidRPr="005B12F5" w:rsidTr="00A97909">
        <w:trPr>
          <w:trHeight w:val="228"/>
        </w:trPr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 на добавленную стоимость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Валовая прибыль, всего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B12F5" w:rsidRPr="005B12F5" w:rsidRDefault="005B12F5" w:rsidP="005B12F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реализации продукции (работ, услуг)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реализации основных фондов, всего имущества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внереализационных операций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Плановые накопления по строительно-монтажным работам, выполняемым хоз. способом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Износ (амортизация) основных производственных фондов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Налог на имущество предприятия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Средства, поступающие в порядке долевого участия в строительстве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Прочие источники финансирования капитальных вложений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Долгосрочный кредит на капитальные вложения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техническое перевооружение и реконструкцию действующего предприятия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Непроизводственное строительство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Отчисления от себестоимости: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ремонтный фонд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процентов за краткосрочный кредит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родителей на содержание детских дошкольных учреждений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Отчисления от себестоимости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Прочие доходы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Поступления по договорам на НИР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Поступления от ассоциации на НИР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и поступлений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Расходы и отчисления</w:t>
            </w: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B12F5" w:rsidRPr="005B12F5" w:rsidRDefault="005B12F5" w:rsidP="005B12F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перевооружение и реконструкцию действующего предприятия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непроизводственное строительство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Прирост собственных оборотных средств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Расходы на НИР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Расходы на содержание детских дошкольных учреждений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Уплата процентов (дивидендов) по акциям и иным ценным бумагам членам трудового коллектива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расходы на финансирование социальной сферы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Прочие затраты финансированные за счет прибыли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Затраты на ремонт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Уплата процентов за краткосрочный кредит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и отчислений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доходов над расходами (+)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с бюджетом</w:t>
            </w: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 Платежи в бюджет</w:t>
            </w: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 на добавленную стоимость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307"/>
        </w:trPr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Налог на прибыль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 на имущество предприятия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Прочие налоги в бюджет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платежей в бюджет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cantSplit/>
        </w:trPr>
        <w:tc>
          <w:tcPr>
            <w:tcW w:w="5000" w:type="pct"/>
            <w:gridSpan w:val="2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1У. Ассигнования из бюджета</w:t>
            </w: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ассигнования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ассигнований из бюджета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платежей в бюджет над ассигнованиями из бюджета (+)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доходов, поступлений средств и ассигнований из бюджета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F5" w:rsidRPr="005B12F5" w:rsidTr="00A97909">
        <w:tc>
          <w:tcPr>
            <w:tcW w:w="384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расходов, отчислени и платежей в бюджет</w:t>
            </w:r>
          </w:p>
        </w:tc>
        <w:tc>
          <w:tcPr>
            <w:tcW w:w="1155" w:type="pct"/>
          </w:tcPr>
          <w:p w:rsidR="005B12F5" w:rsidRPr="005B12F5" w:rsidRDefault="005B12F5" w:rsidP="005B12F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spacing w:after="0" w:line="240" w:lineRule="auto"/>
        <w:ind w:left="-567" w:right="-1191"/>
        <w:jc w:val="right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F5" w:rsidRPr="005B12F5" w:rsidRDefault="005B12F5" w:rsidP="005B1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F5" w:rsidRPr="005B12F5" w:rsidRDefault="005B12F5" w:rsidP="005B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B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литературы</w:t>
      </w:r>
    </w:p>
    <w:p w:rsidR="005B12F5" w:rsidRPr="005B12F5" w:rsidRDefault="005B12F5" w:rsidP="005B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Основная  литература</w:t>
      </w:r>
    </w:p>
    <w:p w:rsidR="005B12F5" w:rsidRPr="005B12F5" w:rsidRDefault="005B12F5" w:rsidP="005B12F5">
      <w:pPr>
        <w:numPr>
          <w:ilvl w:val="0"/>
          <w:numId w:val="41"/>
        </w:num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 И.Т. Основы финансового менеджмента.  – М.: Финансы и статистика , 2009. – 468с.</w:t>
      </w:r>
    </w:p>
    <w:p w:rsidR="005B12F5" w:rsidRPr="005B12F5" w:rsidRDefault="005B12F5" w:rsidP="005B12F5">
      <w:pPr>
        <w:numPr>
          <w:ilvl w:val="0"/>
          <w:numId w:val="41"/>
        </w:num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Стоянова Е.С. Финансовый менеджмент. Российская практика. – М.: Перспектива,2007. – 482с.</w:t>
      </w:r>
    </w:p>
    <w:p w:rsidR="005B12F5" w:rsidRPr="005B12F5" w:rsidRDefault="005B12F5" w:rsidP="005B12F5">
      <w:pPr>
        <w:numPr>
          <w:ilvl w:val="0"/>
          <w:numId w:val="41"/>
        </w:num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В.В. Финансовый менеджмент: теория и практика. – Москва: Проспект, 2010. – 1024с.</w:t>
      </w:r>
    </w:p>
    <w:p w:rsidR="005B12F5" w:rsidRPr="005B12F5" w:rsidRDefault="005B12F5" w:rsidP="005B12F5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12F5" w:rsidRPr="005B12F5" w:rsidRDefault="005B12F5" w:rsidP="005B12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Дополнительная литература</w:t>
      </w:r>
    </w:p>
    <w:p w:rsidR="005B12F5" w:rsidRPr="005B12F5" w:rsidRDefault="005B12F5" w:rsidP="005B12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Абросимов А.А.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- индикаторы эффективности бюджетного контроля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2-7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Агафонова И.П.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Организация процесса бюджетирования как средства достижения финансово-экономических целей предприятия</w:t>
      </w: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Финансовый менеджмент. -  №6. – 2012. -</w:t>
      </w:r>
      <w:r w:rsidRPr="005B12F5">
        <w:rPr>
          <w:rFonts w:ascii="Times New Roman" w:eastAsia="Calibri" w:hAnsi="Times New Roman" w:cs="Times New Roman"/>
          <w:sz w:val="28"/>
          <w:szCs w:val="28"/>
        </w:rPr>
        <w:t>– С. 22-28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Бабанова Ю.В.</w:t>
        </w:r>
      </w:hyperlink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Томашева В.В.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инвестиционной деятельностью как фактор устойчивого функционирования компании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44.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С.31-26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Брусов П.Н.</w:t>
        </w:r>
      </w:hyperlink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Филатова Т.В.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Орехова Н.П.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Брусов П.П.</w:t>
        </w:r>
      </w:hyperlink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Брусова А.П.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оценки финансовых показателей деятельности компании в снижении вероятности финансового кризиса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– 2012. 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С.11-17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Великая Е.Г.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управление затратами на основе бюджетирования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С.29-37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Воробьев А.В.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Олюнин В.И.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комплексной модели финансового планирования организации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29.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С.26-29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Грищенко А.В. 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Как повлияет вступление в ВТО на российскую экономику</w:t>
      </w: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Финансовый менеджмент. - №5. – 2012.</w:t>
      </w:r>
      <w:r w:rsidRPr="005B12F5">
        <w:rPr>
          <w:rFonts w:ascii="Times New Roman" w:eastAsia="Calibri" w:hAnsi="Times New Roman" w:cs="Times New Roman"/>
          <w:sz w:val="28"/>
          <w:szCs w:val="28"/>
        </w:rPr>
        <w:t>– С.32-37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Джораев В.О. Финансовый менеджмент: Учебное пособие. – Оренбург, ОГИМ, 2007. – 151с.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sz w:val="28"/>
          <w:szCs w:val="28"/>
        </w:rPr>
        <w:t>Исик Л.В. Индикаторы банкротства субъектов малого бизнеса и методы их оценки// Финансовый менеджмент. - №2. – 2012.  – С.24-32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Ласкина Л.Ю.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определения и оценки финансового левериджа: отечественный и зарубежный опыт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38.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С.41-45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Лисицына Е.В., Токаренко Г.С. 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Ключевые показатели результативности в системе показателей эффективности деятельности компании</w:t>
      </w: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Финансовый менеджмент. -  №4. – 2012.</w:t>
      </w:r>
      <w:r w:rsidRPr="005B12F5">
        <w:rPr>
          <w:rFonts w:ascii="Times New Roman" w:eastAsia="Calibri" w:hAnsi="Times New Roman" w:cs="Times New Roman"/>
          <w:sz w:val="28"/>
          <w:szCs w:val="28"/>
        </w:rPr>
        <w:t>– С. 37-42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5B12F5" w:rsidRPr="005B12F5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Николаевская О.А.</w:t>
        </w:r>
      </w:hyperlink>
      <w:r w:rsidR="005B12F5" w:rsidRPr="005B12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="005B12F5" w:rsidRPr="005B12F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/>
          </w:rPr>
          <w:t>Финансовый механизм использования инвестиционного потенциала промышленного предприятия</w:t>
        </w:r>
      </w:hyperlink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14. – 2013.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33-38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Романенко О.А.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привлекательность и мотивы интеграции хозяйствующих субъектов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28-34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Рыжкова К.А.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собственным капиталом в акционерных обществах: методологический аспект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31-37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5B12F5" w:rsidRPr="005B12F5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Симакова Е.К.</w:t>
        </w:r>
      </w:hyperlink>
      <w:r w:rsidR="005B12F5" w:rsidRPr="005B1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="005B12F5" w:rsidRPr="005B12F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/>
          </w:rPr>
          <w:t>Система инфраструктурного обеспечения финансирования предпринимательской деятельности: проблемы и перспективы развития</w:t>
        </w:r>
      </w:hyperlink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12. – 2013.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19-27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Сорвина О.В.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факторов управления производственными затратами предприятия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34.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30-36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sz w:val="28"/>
          <w:szCs w:val="28"/>
        </w:rPr>
        <w:t>Сорокин А.Н. Операционный леверидж в оценке устойчивости компаний// Финансовый менеджмент. - №3. – 2012.  – С. 17-25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sz w:val="28"/>
          <w:szCs w:val="28"/>
        </w:rPr>
        <w:t>Учинина Т.В. Организация финансирования бизнес проектов на рынке коммерческой недвижимости// Финансовый менеджмент. - №3. – 2012.  – С. 27-34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5B12F5" w:rsidRPr="005B12F5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Федотова М.А.</w:t>
        </w:r>
      </w:hyperlink>
      <w:hyperlink r:id="rId27" w:history="1">
        <w:r w:rsidR="005B12F5" w:rsidRPr="005B12F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/>
          </w:rPr>
          <w:t>Финансовая стабилизация и обеспечение устойчивого роста сельскохозяйственных организаций</w:t>
        </w:r>
      </w:hyperlink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14. – 2013.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21-27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sz w:val="28"/>
          <w:szCs w:val="28"/>
        </w:rPr>
        <w:t>Филобокова Л.Ю. Методические подход к управлению и анализу денежных активов малого предприятия// Финансовый менеджмент. - №5. – 2012. – С. 3-12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8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Чалдаева Л.А.</w:t>
        </w:r>
      </w:hyperlink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hyperlink r:id="rId29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Билый А.В.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деятельность современного предприятия: организация и проектирование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44.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26-32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5B12F5" w:rsidRPr="005B12F5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Чараева М.В.</w:t>
        </w:r>
      </w:hyperlink>
      <w:hyperlink r:id="rId31" w:history="1">
        <w:r w:rsidR="005B12F5" w:rsidRPr="005B12F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/>
          </w:rPr>
          <w:t>Исследование финансовой устойчивости, ее влияние на инвестиционный потенциал</w:t>
        </w:r>
      </w:hyperlink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– 2013.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28-33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Черёмушкин С.В.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Согласование финансовых планов со стратегией фирмы: общие рекомендации</w:t>
      </w: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Финансовый менеджмент. -  №6. – 2012. – С. 3-22</w:t>
      </w:r>
    </w:p>
    <w:p w:rsidR="005B12F5" w:rsidRPr="005B12F5" w:rsidRDefault="005B12F5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Чистяков Ю.Е. 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Скользящее бизнес-планирование</w:t>
      </w:r>
      <w:r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</w:t>
      </w:r>
      <w:r w:rsidRPr="005B12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Финансовый менеджмент. -  №4. – 2012.</w:t>
      </w:r>
      <w:r w:rsidRPr="005B12F5">
        <w:rPr>
          <w:rFonts w:ascii="Times New Roman" w:eastAsia="Calibri" w:hAnsi="Times New Roman" w:cs="Times New Roman"/>
          <w:sz w:val="28"/>
          <w:szCs w:val="28"/>
        </w:rPr>
        <w:t>– С. 41-47</w:t>
      </w:r>
    </w:p>
    <w:p w:rsidR="005B12F5" w:rsidRPr="005B12F5" w:rsidRDefault="008B2A8E" w:rsidP="005B12F5">
      <w:pPr>
        <w:numPr>
          <w:ilvl w:val="0"/>
          <w:numId w:val="42"/>
        </w:numPr>
        <w:tabs>
          <w:tab w:val="num" w:pos="-142"/>
          <w:tab w:val="num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2" w:history="1">
        <w:r w:rsidR="005B12F5" w:rsidRPr="005B12F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Юзвович Л.И.</w:t>
        </w:r>
      </w:hyperlink>
      <w:r w:rsidR="005B12F5" w:rsidRPr="005B1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12F5" w:rsidRPr="005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Концептуальное обоснование инструментария финансирования реальных инвестиций</w:t>
      </w:r>
      <w:r w:rsidR="005B12F5" w:rsidRPr="005B12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// Финансы и кредит. - №</w:t>
      </w:r>
      <w:r w:rsidR="005B12F5" w:rsidRPr="005B1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39. – 2012.</w:t>
      </w:r>
      <w:r w:rsidR="005B12F5" w:rsidRPr="005B12F5">
        <w:rPr>
          <w:rFonts w:ascii="Times New Roman" w:eastAsia="Calibri" w:hAnsi="Times New Roman" w:cs="Times New Roman"/>
          <w:sz w:val="28"/>
          <w:szCs w:val="28"/>
        </w:rPr>
        <w:t>– С. 34-42</w:t>
      </w:r>
    </w:p>
    <w:p w:rsidR="005B12F5" w:rsidRPr="005B12F5" w:rsidRDefault="005B12F5" w:rsidP="005B12F5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2F5" w:rsidRPr="005B12F5" w:rsidRDefault="005B12F5" w:rsidP="005B12F5">
      <w:pPr>
        <w:tabs>
          <w:tab w:val="left" w:pos="51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2F5" w:rsidRPr="005B12F5" w:rsidSect="008B1FD4">
          <w:headerReference w:type="even" r:id="rId33"/>
          <w:headerReference w:type="default" r:id="rId34"/>
          <w:footerReference w:type="even" r:id="rId35"/>
          <w:footerReference w:type="default" r:id="rId3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12F5" w:rsidRPr="005B12F5" w:rsidRDefault="005B12F5" w:rsidP="005B1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B12F5" w:rsidRPr="005B12F5" w:rsidRDefault="005B12F5" w:rsidP="005B1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5B12F5" w:rsidRPr="005B12F5" w:rsidRDefault="005B12F5" w:rsidP="005B1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5" w:rsidRPr="005B12F5" w:rsidRDefault="005B12F5" w:rsidP="005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таблица (шахматка) к балансу доходов и расходов (руб.)</w:t>
      </w:r>
    </w:p>
    <w:p w:rsidR="005B12F5" w:rsidRPr="005B12F5" w:rsidRDefault="005B12F5" w:rsidP="005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477"/>
        <w:gridCol w:w="941"/>
        <w:gridCol w:w="551"/>
        <w:gridCol w:w="797"/>
        <w:gridCol w:w="871"/>
        <w:gridCol w:w="615"/>
        <w:gridCol w:w="1049"/>
        <w:gridCol w:w="1239"/>
        <w:gridCol w:w="1266"/>
        <w:gridCol w:w="816"/>
        <w:gridCol w:w="860"/>
        <w:gridCol w:w="760"/>
        <w:gridCol w:w="888"/>
        <w:gridCol w:w="933"/>
        <w:gridCol w:w="541"/>
        <w:gridCol w:w="748"/>
        <w:gridCol w:w="434"/>
      </w:tblGrid>
      <w:tr w:rsidR="005B12F5" w:rsidRPr="005B12F5" w:rsidTr="00A97909"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Источники покрытия</w:t>
            </w: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Направления средств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tabs>
                <w:tab w:val="left" w:pos="-108"/>
              </w:tabs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Валовая                     прибыль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Плановые накопления по СМР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Износ          (амортизация)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Средства поступ. в порядке долевого участия в строит-стве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Прочие источники финансирования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Долг. Кредит на техническое перевооружение…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ДК на непроизводственное строительство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Отчисления в ремонтный фонд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Отчисления от себестоимости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Средства родителей на содержание дет. Дошк. учреждений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Поступления по договорам на НИР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Поступления от ассоциаций на НИР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Прочие доходы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Налоги на имущество предприятий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Всего</w:t>
            </w:r>
          </w:p>
        </w:tc>
      </w:tr>
      <w:tr w:rsidR="005B12F5" w:rsidRPr="005B12F5" w:rsidTr="00A97909">
        <w:trPr>
          <w:trHeight w:val="183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</w:tr>
      <w:tr w:rsidR="005B12F5" w:rsidRPr="005B12F5" w:rsidTr="00A97909">
        <w:trPr>
          <w:trHeight w:val="526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 Налог на добавл-ую стоимость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157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2. Налог на прибыль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152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3. Налог на имущество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740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4.  Затраты на техническое перевооружение и реконструкцию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490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5. Затраты на непроизводственное строительство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452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6. Прирост собственных оборотных средств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254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7. Расходы на НИР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740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8. Расходы на содержание детских дошкольных учрежд.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740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9. Прочие расходы на финансирование социальной сферы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636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 Прочие затраты, финансируемые за счет прибыли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227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11. Затраты на ремонт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349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 Уплата % за краткосрочный кредит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12F5" w:rsidRPr="005B12F5" w:rsidTr="00A97909">
        <w:trPr>
          <w:trHeight w:val="300"/>
        </w:trPr>
        <w:tc>
          <w:tcPr>
            <w:tcW w:w="655" w:type="pct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B12F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13. Итого</w:t>
            </w: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1" w:right="-12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2" w:right="-6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6" w:right="-1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219" w:right="-7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0" w:right="-15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2" w:right="-9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25" w:right="-16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47" w:right="-106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10" w:right="-18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73" w:right="-12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95" w:right="-5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58" w:right="-13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143" w:right="-152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B12F5" w:rsidRPr="005B12F5" w:rsidRDefault="005B12F5" w:rsidP="005B12F5">
            <w:pPr>
              <w:spacing w:after="0" w:line="240" w:lineRule="auto"/>
              <w:ind w:left="-64" w:right="-8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B12F5" w:rsidRPr="005B12F5" w:rsidRDefault="005B12F5" w:rsidP="005B12F5">
      <w:pPr>
        <w:tabs>
          <w:tab w:val="left" w:pos="51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AF" w:rsidRDefault="000361AF">
      <w:bookmarkStart w:id="0" w:name="_GoBack"/>
      <w:bookmarkEnd w:id="0"/>
    </w:p>
    <w:sectPr w:rsidR="000361AF" w:rsidSect="009277FC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5B" w:rsidRDefault="0013605B" w:rsidP="005B12F5">
      <w:pPr>
        <w:spacing w:after="0" w:line="240" w:lineRule="auto"/>
      </w:pPr>
      <w:r>
        <w:separator/>
      </w:r>
    </w:p>
  </w:endnote>
  <w:endnote w:type="continuationSeparator" w:id="0">
    <w:p w:rsidR="0013605B" w:rsidRDefault="0013605B" w:rsidP="005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F5" w:rsidRDefault="008B2A8E" w:rsidP="006F3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2F5" w:rsidRDefault="005B12F5" w:rsidP="006F3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F5" w:rsidRDefault="008B2A8E" w:rsidP="006F3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61F">
      <w:rPr>
        <w:rStyle w:val="a5"/>
        <w:noProof/>
      </w:rPr>
      <w:t>2</w:t>
    </w:r>
    <w:r>
      <w:rPr>
        <w:rStyle w:val="a5"/>
      </w:rPr>
      <w:fldChar w:fldCharType="end"/>
    </w:r>
  </w:p>
  <w:p w:rsidR="005B12F5" w:rsidRDefault="005B12F5" w:rsidP="006F33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5B" w:rsidRDefault="0013605B" w:rsidP="005B12F5">
      <w:pPr>
        <w:spacing w:after="0" w:line="240" w:lineRule="auto"/>
      </w:pPr>
      <w:r>
        <w:separator/>
      </w:r>
    </w:p>
  </w:footnote>
  <w:footnote w:type="continuationSeparator" w:id="0">
    <w:p w:rsidR="0013605B" w:rsidRDefault="0013605B" w:rsidP="005B12F5">
      <w:pPr>
        <w:spacing w:after="0" w:line="240" w:lineRule="auto"/>
      </w:pPr>
      <w:r>
        <w:continuationSeparator/>
      </w:r>
    </w:p>
  </w:footnote>
  <w:footnote w:id="1">
    <w:p w:rsidR="005B12F5" w:rsidRDefault="005B12F5" w:rsidP="005B12F5">
      <w:pPr>
        <w:pStyle w:val="af1"/>
      </w:pPr>
      <w:r>
        <w:rPr>
          <w:rStyle w:val="af3"/>
        </w:rPr>
        <w:footnoteRef/>
      </w:r>
      <w:r>
        <w:t xml:space="preserve"> См: Таблица 8</w:t>
      </w:r>
    </w:p>
  </w:footnote>
  <w:footnote w:id="2">
    <w:p w:rsidR="005B12F5" w:rsidRDefault="005B12F5" w:rsidP="005B12F5">
      <w:pPr>
        <w:pStyle w:val="af1"/>
      </w:pPr>
      <w:r>
        <w:rPr>
          <w:rStyle w:val="af3"/>
        </w:rPr>
        <w:footnoteRef/>
      </w:r>
      <w:r>
        <w:t xml:space="preserve"> Затраты 1У квартала рассчитываются в размере 25% от суммы годовых затрат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F5" w:rsidRDefault="008B2A8E" w:rsidP="00C83AA4">
    <w:pPr>
      <w:pStyle w:val="af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2F5" w:rsidRDefault="005B12F5" w:rsidP="00C44E4D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F5" w:rsidRDefault="008B2A8E" w:rsidP="00C83AA4">
    <w:pPr>
      <w:pStyle w:val="af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61F">
      <w:rPr>
        <w:rStyle w:val="a5"/>
        <w:noProof/>
      </w:rPr>
      <w:t>2</w:t>
    </w:r>
    <w:r>
      <w:rPr>
        <w:rStyle w:val="a5"/>
      </w:rPr>
      <w:fldChar w:fldCharType="end"/>
    </w:r>
  </w:p>
  <w:p w:rsidR="005B12F5" w:rsidRDefault="005B12F5" w:rsidP="00C44E4D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A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CC3DD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99241E"/>
    <w:multiLevelType w:val="hybridMultilevel"/>
    <w:tmpl w:val="1CFA0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77EE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B40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715518D"/>
    <w:multiLevelType w:val="singleLevel"/>
    <w:tmpl w:val="9152A43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0A33762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924A2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126C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997FA3"/>
    <w:multiLevelType w:val="singleLevel"/>
    <w:tmpl w:val="FC76E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0937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144E25"/>
    <w:multiLevelType w:val="hybridMultilevel"/>
    <w:tmpl w:val="CAC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405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FA3354"/>
    <w:multiLevelType w:val="hybridMultilevel"/>
    <w:tmpl w:val="BE9C01BC"/>
    <w:lvl w:ilvl="0" w:tplc="BAA86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C4167"/>
    <w:multiLevelType w:val="hybridMultilevel"/>
    <w:tmpl w:val="A68844CC"/>
    <w:lvl w:ilvl="0" w:tplc="D1589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6AC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E2F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149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8EF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A43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2A7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3C1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EA5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44F2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0D34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1414061"/>
    <w:multiLevelType w:val="hybridMultilevel"/>
    <w:tmpl w:val="371EDB9A"/>
    <w:lvl w:ilvl="0" w:tplc="15303C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1C93B4B"/>
    <w:multiLevelType w:val="hybridMultilevel"/>
    <w:tmpl w:val="C4C41AD6"/>
    <w:lvl w:ilvl="0" w:tplc="FC76E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C219F"/>
    <w:multiLevelType w:val="hybridMultilevel"/>
    <w:tmpl w:val="0B425B68"/>
    <w:lvl w:ilvl="0" w:tplc="BAA86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C1301"/>
    <w:multiLevelType w:val="hybridMultilevel"/>
    <w:tmpl w:val="8786CA78"/>
    <w:lvl w:ilvl="0" w:tplc="3F7CF9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E504E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23F23A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50D4901"/>
    <w:multiLevelType w:val="hybridMultilevel"/>
    <w:tmpl w:val="E5B6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D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73349"/>
    <w:multiLevelType w:val="hybridMultilevel"/>
    <w:tmpl w:val="47109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1A620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2DC11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6610F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85463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A234869"/>
    <w:multiLevelType w:val="hybridMultilevel"/>
    <w:tmpl w:val="2E50329E"/>
    <w:lvl w:ilvl="0" w:tplc="4D309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38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BCA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B20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684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A67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FCC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760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DC1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7214C"/>
    <w:multiLevelType w:val="hybridMultilevel"/>
    <w:tmpl w:val="52EC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65191"/>
    <w:multiLevelType w:val="hybridMultilevel"/>
    <w:tmpl w:val="E3AAA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90072"/>
    <w:multiLevelType w:val="hybridMultilevel"/>
    <w:tmpl w:val="9B6E4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AC2884"/>
    <w:multiLevelType w:val="singleLevel"/>
    <w:tmpl w:val="2034D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AD94CF5"/>
    <w:multiLevelType w:val="hybridMultilevel"/>
    <w:tmpl w:val="5B621E94"/>
    <w:lvl w:ilvl="0" w:tplc="62220D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BDC1F7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1D14015"/>
    <w:multiLevelType w:val="hybridMultilevel"/>
    <w:tmpl w:val="014C3A02"/>
    <w:lvl w:ilvl="0" w:tplc="F4A2A2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1271A"/>
    <w:multiLevelType w:val="hybridMultilevel"/>
    <w:tmpl w:val="121E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C7548"/>
    <w:multiLevelType w:val="singleLevel"/>
    <w:tmpl w:val="BAA86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5F21FBE"/>
    <w:multiLevelType w:val="hybridMultilevel"/>
    <w:tmpl w:val="72221390"/>
    <w:lvl w:ilvl="0" w:tplc="77A21A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60F76A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62D5D34"/>
    <w:multiLevelType w:val="hybridMultilevel"/>
    <w:tmpl w:val="E09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7768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0"/>
  </w:num>
  <w:num w:numId="5">
    <w:abstractNumId w:val="34"/>
  </w:num>
  <w:num w:numId="6">
    <w:abstractNumId w:val="20"/>
  </w:num>
  <w:num w:numId="7">
    <w:abstractNumId w:val="39"/>
  </w:num>
  <w:num w:numId="8">
    <w:abstractNumId w:val="17"/>
  </w:num>
  <w:num w:numId="9">
    <w:abstractNumId w:val="37"/>
  </w:num>
  <w:num w:numId="10">
    <w:abstractNumId w:val="41"/>
  </w:num>
  <w:num w:numId="11">
    <w:abstractNumId w:val="2"/>
  </w:num>
  <w:num w:numId="12">
    <w:abstractNumId w:val="32"/>
  </w:num>
  <w:num w:numId="13">
    <w:abstractNumId w:val="33"/>
  </w:num>
  <w:num w:numId="14">
    <w:abstractNumId w:val="9"/>
  </w:num>
  <w:num w:numId="15">
    <w:abstractNumId w:val="18"/>
  </w:num>
  <w:num w:numId="16">
    <w:abstractNumId w:val="31"/>
  </w:num>
  <w:num w:numId="17">
    <w:abstractNumId w:val="14"/>
  </w:num>
  <w:num w:numId="18">
    <w:abstractNumId w:val="29"/>
  </w:num>
  <w:num w:numId="19">
    <w:abstractNumId w:val="24"/>
  </w:num>
  <w:num w:numId="20">
    <w:abstractNumId w:val="23"/>
  </w:num>
  <w:num w:numId="21">
    <w:abstractNumId w:val="27"/>
  </w:num>
  <w:num w:numId="22">
    <w:abstractNumId w:val="28"/>
  </w:num>
  <w:num w:numId="23">
    <w:abstractNumId w:val="0"/>
  </w:num>
  <w:num w:numId="24">
    <w:abstractNumId w:val="42"/>
  </w:num>
  <w:num w:numId="25">
    <w:abstractNumId w:val="4"/>
  </w:num>
  <w:num w:numId="26">
    <w:abstractNumId w:val="1"/>
  </w:num>
  <w:num w:numId="27">
    <w:abstractNumId w:val="15"/>
  </w:num>
  <w:num w:numId="28">
    <w:abstractNumId w:val="3"/>
  </w:num>
  <w:num w:numId="29">
    <w:abstractNumId w:val="26"/>
  </w:num>
  <w:num w:numId="30">
    <w:abstractNumId w:val="7"/>
  </w:num>
  <w:num w:numId="31">
    <w:abstractNumId w:val="22"/>
  </w:num>
  <w:num w:numId="32">
    <w:abstractNumId w:val="25"/>
  </w:num>
  <w:num w:numId="33">
    <w:abstractNumId w:val="10"/>
  </w:num>
  <w:num w:numId="34">
    <w:abstractNumId w:val="12"/>
  </w:num>
  <w:num w:numId="35">
    <w:abstractNumId w:val="16"/>
  </w:num>
  <w:num w:numId="36">
    <w:abstractNumId w:val="35"/>
  </w:num>
  <w:num w:numId="37">
    <w:abstractNumId w:val="8"/>
  </w:num>
  <w:num w:numId="38">
    <w:abstractNumId w:val="21"/>
  </w:num>
  <w:num w:numId="39">
    <w:abstractNumId w:val="6"/>
  </w:num>
  <w:num w:numId="40">
    <w:abstractNumId w:val="40"/>
  </w:num>
  <w:num w:numId="41">
    <w:abstractNumId w:val="38"/>
  </w:num>
  <w:num w:numId="42">
    <w:abstractNumId w:val="1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49"/>
    <w:rsid w:val="000361AF"/>
    <w:rsid w:val="0013605B"/>
    <w:rsid w:val="00403849"/>
    <w:rsid w:val="005B12F5"/>
    <w:rsid w:val="0088061F"/>
    <w:rsid w:val="008B2A8E"/>
    <w:rsid w:val="00D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E"/>
  </w:style>
  <w:style w:type="paragraph" w:styleId="1">
    <w:name w:val="heading 1"/>
    <w:basedOn w:val="a"/>
    <w:next w:val="a"/>
    <w:link w:val="10"/>
    <w:qFormat/>
    <w:rsid w:val="005B12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12F5"/>
    <w:pPr>
      <w:keepNext/>
      <w:spacing w:after="0" w:line="240" w:lineRule="auto"/>
      <w:ind w:right="90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12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12F5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2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2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1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12F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semiHidden/>
    <w:rsid w:val="005B12F5"/>
  </w:style>
  <w:style w:type="paragraph" w:styleId="a3">
    <w:name w:val="footer"/>
    <w:basedOn w:val="a"/>
    <w:link w:val="a4"/>
    <w:rsid w:val="005B1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B1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12F5"/>
  </w:style>
  <w:style w:type="paragraph" w:styleId="a6">
    <w:name w:val="Body Text"/>
    <w:basedOn w:val="a"/>
    <w:link w:val="a7"/>
    <w:rsid w:val="005B12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5B12F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1">
    <w:name w:val="Body Text Indent 2"/>
    <w:basedOn w:val="a"/>
    <w:link w:val="22"/>
    <w:rsid w:val="005B12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B1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qFormat/>
    <w:rsid w:val="005B12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5B12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5B12F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5B12F5"/>
    <w:rPr>
      <w:sz w:val="16"/>
    </w:rPr>
  </w:style>
  <w:style w:type="paragraph" w:styleId="af">
    <w:name w:val="annotation text"/>
    <w:basedOn w:val="a"/>
    <w:link w:val="af0"/>
    <w:semiHidden/>
    <w:rsid w:val="005B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5B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5B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B1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5B12F5"/>
    <w:rPr>
      <w:vertAlign w:val="superscript"/>
    </w:rPr>
  </w:style>
  <w:style w:type="paragraph" w:styleId="af4">
    <w:name w:val="header"/>
    <w:basedOn w:val="a"/>
    <w:link w:val="af5"/>
    <w:rsid w:val="005B1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5B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5B1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B12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5B12F5"/>
    <w:rPr>
      <w:b/>
      <w:bCs/>
    </w:rPr>
  </w:style>
  <w:style w:type="character" w:styleId="af9">
    <w:name w:val="Emphasis"/>
    <w:basedOn w:val="a0"/>
    <w:uiPriority w:val="20"/>
    <w:qFormat/>
    <w:rsid w:val="005B12F5"/>
    <w:rPr>
      <w:i/>
      <w:iCs/>
    </w:rPr>
  </w:style>
  <w:style w:type="character" w:customStyle="1" w:styleId="apple-converted-space">
    <w:name w:val="apple-converted-space"/>
    <w:basedOn w:val="a0"/>
    <w:rsid w:val="005B12F5"/>
  </w:style>
  <w:style w:type="character" w:styleId="afa">
    <w:name w:val="Hyperlink"/>
    <w:basedOn w:val="a0"/>
    <w:uiPriority w:val="99"/>
    <w:unhideWhenUsed/>
    <w:rsid w:val="005B12F5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B12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fc"/>
    <w:uiPriority w:val="10"/>
    <w:qFormat/>
    <w:rsid w:val="005B1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b"/>
    <w:uiPriority w:val="10"/>
    <w:rsid w:val="005B1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izdat.ru/search/?q=%C1%E0%E1%E0%ED%EE%E2%E0%20%DE.%C2." TargetMode="External"/><Relationship Id="rId13" Type="http://schemas.openxmlformats.org/officeDocument/2006/relationships/hyperlink" Target="http://www.fin-izdat.ru/search/?q=%C1%F0%F3%F1%EE%E2%20%CF.%CF." TargetMode="External"/><Relationship Id="rId18" Type="http://schemas.openxmlformats.org/officeDocument/2006/relationships/hyperlink" Target="http://www.fin-izdat.ru/search/?q=%CB%E0%F1%EA%E8%ED%E0%20%CB.%DE." TargetMode="External"/><Relationship Id="rId26" Type="http://schemas.openxmlformats.org/officeDocument/2006/relationships/hyperlink" Target="http://www.fin-izdat.ru/search/?q=%D4%E5%E4%EE%F2%EE%E2%E0%20%CC.%C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-izdat.ru/search/?q=%D0%EE%EC%E0%ED%E5%ED%EA%EE%20%CE.%C0.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fin-izdat.ru/search/?q=%C0%E1%F0%EE%F1%E8%EC%EE%E2%20%C0.%C0." TargetMode="External"/><Relationship Id="rId12" Type="http://schemas.openxmlformats.org/officeDocument/2006/relationships/hyperlink" Target="http://www.fin-izdat.ru/search/?q=%CE%F0%E5%F5%EE%E2%E0%20%CD.%CF." TargetMode="External"/><Relationship Id="rId17" Type="http://schemas.openxmlformats.org/officeDocument/2006/relationships/hyperlink" Target="http://www.fin-izdat.ru/search/?q=%CE%EB%FE%ED%E8%ED%20%C2.%C8." TargetMode="External"/><Relationship Id="rId25" Type="http://schemas.openxmlformats.org/officeDocument/2006/relationships/hyperlink" Target="http://www.fin-izdat.ru/search/?q=%D1%EE%F0%E2%E8%ED%E0%20%CE.%C2.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n-izdat.ru/search/?q=%C2%EE%F0%EE%E1%FC%E5%E2%20%C0.%C2." TargetMode="External"/><Relationship Id="rId20" Type="http://schemas.openxmlformats.org/officeDocument/2006/relationships/hyperlink" Target="http://www.fin-izdat.ru/journal/fc/detail.php?ID=56069" TargetMode="External"/><Relationship Id="rId29" Type="http://schemas.openxmlformats.org/officeDocument/2006/relationships/hyperlink" Target="http://www.fin-izdat.ru/search/?q=%C1%E8%EB%FB%E9%20%C0.%C2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-izdat.ru/search/?q=%D4%E8%EB%E0%F2%EE%E2%E0%20%D2.%C2." TargetMode="External"/><Relationship Id="rId24" Type="http://schemas.openxmlformats.org/officeDocument/2006/relationships/hyperlink" Target="http://www.fin-izdat.ru/journal/fc/detail.php?ID=55799" TargetMode="External"/><Relationship Id="rId32" Type="http://schemas.openxmlformats.org/officeDocument/2006/relationships/hyperlink" Target="http://www.fin-izdat.ru/search/?q=%DE%E7%E2%EE%E2%E8%F7%20%CB.%C8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in-izdat.ru/search/?q=%C2%E5%EB%E8%EA%E0%FF%20%C5.%C3." TargetMode="External"/><Relationship Id="rId23" Type="http://schemas.openxmlformats.org/officeDocument/2006/relationships/hyperlink" Target="http://www.fin-izdat.ru/search/?q=%D1%E8%EC%E0%EA%EE%E2%E0%20%C5.%CA." TargetMode="External"/><Relationship Id="rId28" Type="http://schemas.openxmlformats.org/officeDocument/2006/relationships/hyperlink" Target="http://www.fin-izdat.ru/search/?q=%D7%E0%EB%E4%E0%E5%E2%E0%20%CB.%C0.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fin-izdat.ru/search/?q=%C1%F0%F3%F1%EE%E2%20%CF.%CD." TargetMode="External"/><Relationship Id="rId19" Type="http://schemas.openxmlformats.org/officeDocument/2006/relationships/hyperlink" Target="http://www.fin-izdat.ru/search/?q=%CD%E8%EA%EE%EB%E0%E5%E2%F1%EA%E0%FF%20%CE.%C0." TargetMode="External"/><Relationship Id="rId31" Type="http://schemas.openxmlformats.org/officeDocument/2006/relationships/hyperlink" Target="http://www.fin-izdat.ru/journal/fc/detail.php?ID=55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-izdat.ru/search/?q=%D2%EE%EC%E0%F8%E5%E2%E0%20%C2.%C2." TargetMode="External"/><Relationship Id="rId14" Type="http://schemas.openxmlformats.org/officeDocument/2006/relationships/hyperlink" Target="http://www.fin-izdat.ru/search/?q=%C1%F0%F3%F1%EE%E2%E0%20%C0.%CF." TargetMode="External"/><Relationship Id="rId22" Type="http://schemas.openxmlformats.org/officeDocument/2006/relationships/hyperlink" Target="http://www.fin-izdat.ru/search/?q=%D0%FB%E6%EA%EE%E2%E0%20%CA.%C0." TargetMode="External"/><Relationship Id="rId27" Type="http://schemas.openxmlformats.org/officeDocument/2006/relationships/hyperlink" Target="http://www.fin-izdat.ru/journal/fc/detail.php?ID=56071" TargetMode="External"/><Relationship Id="rId30" Type="http://schemas.openxmlformats.org/officeDocument/2006/relationships/hyperlink" Target="http://www.fin-izdat.ru/search/?q=%D7%E0%F0%E0%E5%E2%E0%20%CC.%C2.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3051</Words>
  <Characters>17396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2016-06-20T12:12:00Z</dcterms:created>
  <dcterms:modified xsi:type="dcterms:W3CDTF">2016-06-20T12:12:00Z</dcterms:modified>
</cp:coreProperties>
</file>